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69F" w:rsidRPr="00194D5F" w:rsidRDefault="0022469F" w:rsidP="0022469F">
      <w:pPr>
        <w:spacing w:after="0" w:line="240" w:lineRule="auto"/>
        <w:jc w:val="center"/>
        <w:rPr>
          <w:rFonts w:ascii="Times New Roman" w:hAnsi="Times New Roman"/>
          <w:sz w:val="28"/>
          <w:szCs w:val="28"/>
        </w:rPr>
      </w:pPr>
    </w:p>
    <w:p w:rsidR="0022469F" w:rsidRPr="00194D5F" w:rsidRDefault="0022469F" w:rsidP="0022469F">
      <w:pPr>
        <w:spacing w:after="0" w:line="240" w:lineRule="auto"/>
        <w:jc w:val="right"/>
        <w:rPr>
          <w:rFonts w:ascii="Times New Roman" w:hAnsi="Times New Roman"/>
          <w:sz w:val="28"/>
          <w:szCs w:val="28"/>
        </w:rPr>
      </w:pPr>
    </w:p>
    <w:p w:rsidR="0022469F" w:rsidRPr="00194D5F" w:rsidRDefault="0022469F" w:rsidP="0022469F">
      <w:pPr>
        <w:spacing w:after="0" w:line="240" w:lineRule="auto"/>
        <w:rPr>
          <w:rFonts w:ascii="Times New Roman" w:hAnsi="Times New Roman"/>
          <w:sz w:val="28"/>
          <w:szCs w:val="28"/>
        </w:rPr>
      </w:pPr>
    </w:p>
    <w:p w:rsidR="0022469F" w:rsidRPr="00194D5F" w:rsidRDefault="0022469F" w:rsidP="0022469F">
      <w:pPr>
        <w:spacing w:after="0" w:line="240" w:lineRule="auto"/>
        <w:jc w:val="center"/>
        <w:rPr>
          <w:rFonts w:ascii="Times New Roman" w:hAnsi="Times New Roman"/>
          <w:b/>
          <w:sz w:val="36"/>
          <w:szCs w:val="36"/>
        </w:rPr>
      </w:pPr>
      <w:r w:rsidRPr="00194D5F">
        <w:rPr>
          <w:rFonts w:ascii="Times New Roman" w:hAnsi="Times New Roman"/>
          <w:b/>
          <w:sz w:val="36"/>
          <w:szCs w:val="36"/>
        </w:rPr>
        <w:t>НАРОДНОЕ СОБРАНИЕ (ПАРЛАМЕНТ)</w:t>
      </w:r>
    </w:p>
    <w:p w:rsidR="0022469F" w:rsidRPr="00194D5F" w:rsidRDefault="0022469F" w:rsidP="0022469F">
      <w:pPr>
        <w:spacing w:after="0" w:line="240" w:lineRule="auto"/>
        <w:jc w:val="center"/>
        <w:rPr>
          <w:rFonts w:ascii="Times New Roman" w:hAnsi="Times New Roman"/>
          <w:b/>
          <w:sz w:val="36"/>
          <w:szCs w:val="36"/>
        </w:rPr>
      </w:pPr>
      <w:r w:rsidRPr="00194D5F">
        <w:rPr>
          <w:rFonts w:ascii="Times New Roman" w:hAnsi="Times New Roman"/>
          <w:b/>
          <w:sz w:val="36"/>
          <w:szCs w:val="36"/>
        </w:rPr>
        <w:t>КАРАЧАЕВО-ЧЕРКЕССКОЙ РЕСПУБЛИКИ</w:t>
      </w:r>
    </w:p>
    <w:p w:rsidR="0022469F" w:rsidRPr="00194D5F" w:rsidRDefault="0022469F" w:rsidP="0022469F">
      <w:pPr>
        <w:spacing w:after="0" w:line="240" w:lineRule="auto"/>
        <w:jc w:val="center"/>
        <w:rPr>
          <w:rFonts w:ascii="Times New Roman" w:hAnsi="Times New Roman"/>
          <w:b/>
          <w:sz w:val="36"/>
          <w:szCs w:val="36"/>
        </w:rPr>
      </w:pPr>
    </w:p>
    <w:p w:rsidR="0022469F" w:rsidRPr="00685B00" w:rsidRDefault="00685B00" w:rsidP="00685B00">
      <w:pPr>
        <w:pBdr>
          <w:bottom w:val="single" w:sz="12" w:space="10" w:color="auto"/>
        </w:pBdr>
        <w:spacing w:line="240" w:lineRule="auto"/>
        <w:jc w:val="center"/>
        <w:rPr>
          <w:rFonts w:ascii="Times New Roman" w:hAnsi="Times New Roman"/>
          <w:b/>
          <w:sz w:val="28"/>
          <w:szCs w:val="28"/>
        </w:rPr>
      </w:pPr>
      <w:r>
        <w:rPr>
          <w:rFonts w:ascii="Times New Roman" w:hAnsi="Times New Roman"/>
          <w:b/>
          <w:sz w:val="28"/>
          <w:szCs w:val="28"/>
        </w:rPr>
        <w:t>ОРГАНИЗАЦИОННОЕ УПРАВЛЕНИЕ</w:t>
      </w:r>
    </w:p>
    <w:p w:rsidR="0022469F" w:rsidRPr="0061307E" w:rsidRDefault="0022469F" w:rsidP="0022469F">
      <w:pPr>
        <w:spacing w:after="0" w:line="240" w:lineRule="auto"/>
        <w:jc w:val="both"/>
        <w:rPr>
          <w:rFonts w:ascii="Times New Roman" w:hAnsi="Times New Roman"/>
          <w:b/>
        </w:rPr>
      </w:pPr>
      <w:r w:rsidRPr="00194D5F">
        <w:rPr>
          <w:rFonts w:ascii="Times New Roman" w:hAnsi="Times New Roman"/>
          <w:b/>
        </w:rPr>
        <w:t xml:space="preserve">369000, </w:t>
      </w:r>
      <w:r>
        <w:rPr>
          <w:rFonts w:ascii="Times New Roman" w:hAnsi="Times New Roman"/>
          <w:b/>
        </w:rPr>
        <w:t xml:space="preserve">КЧР, </w:t>
      </w:r>
      <w:r w:rsidRPr="00194D5F">
        <w:rPr>
          <w:rFonts w:ascii="Times New Roman" w:hAnsi="Times New Roman"/>
          <w:b/>
        </w:rPr>
        <w:t xml:space="preserve">г. Черкесск, ул. Красноармейская, 54            </w:t>
      </w:r>
      <w:r w:rsidR="003C2A81">
        <w:rPr>
          <w:rFonts w:ascii="Times New Roman" w:hAnsi="Times New Roman"/>
          <w:b/>
        </w:rPr>
        <w:t xml:space="preserve">                                 </w:t>
      </w:r>
      <w:r w:rsidRPr="00194D5F">
        <w:rPr>
          <w:rFonts w:ascii="Times New Roman" w:hAnsi="Times New Roman"/>
          <w:b/>
        </w:rPr>
        <w:t xml:space="preserve">        тел.</w:t>
      </w:r>
      <w:r w:rsidR="003C2A81">
        <w:rPr>
          <w:rFonts w:ascii="Times New Roman" w:hAnsi="Times New Roman"/>
          <w:b/>
        </w:rPr>
        <w:t xml:space="preserve"> </w:t>
      </w:r>
      <w:r w:rsidR="00685B00">
        <w:rPr>
          <w:rFonts w:ascii="Times New Roman" w:hAnsi="Times New Roman"/>
          <w:b/>
        </w:rPr>
        <w:t>28-45-19</w:t>
      </w:r>
    </w:p>
    <w:p w:rsidR="00F01AA6" w:rsidRDefault="00F01AA6" w:rsidP="002C79E1">
      <w:pPr>
        <w:spacing w:after="0" w:line="240" w:lineRule="auto"/>
        <w:rPr>
          <w:rFonts w:ascii="Times New Roman" w:hAnsi="Times New Roman"/>
          <w:b/>
          <w:sz w:val="28"/>
          <w:szCs w:val="28"/>
        </w:rPr>
      </w:pPr>
    </w:p>
    <w:tbl>
      <w:tblPr>
        <w:tblW w:w="9464" w:type="dxa"/>
        <w:tblLayout w:type="fixed"/>
        <w:tblLook w:val="04A0" w:firstRow="1" w:lastRow="0" w:firstColumn="1" w:lastColumn="0" w:noHBand="0" w:noVBand="1"/>
      </w:tblPr>
      <w:tblGrid>
        <w:gridCol w:w="4395"/>
        <w:gridCol w:w="5069"/>
      </w:tblGrid>
      <w:tr w:rsidR="002C79E1" w:rsidRPr="002C79E1" w:rsidTr="00083457">
        <w:trPr>
          <w:trHeight w:val="888"/>
        </w:trPr>
        <w:tc>
          <w:tcPr>
            <w:tcW w:w="4395" w:type="dxa"/>
          </w:tcPr>
          <w:p w:rsidR="002C79E1" w:rsidRPr="002C79E1" w:rsidRDefault="002C79E1" w:rsidP="002C79E1">
            <w:pPr>
              <w:widowControl w:val="0"/>
              <w:tabs>
                <w:tab w:val="left" w:leader="underscore" w:pos="1967"/>
                <w:tab w:val="left" w:leader="underscore" w:pos="3892"/>
              </w:tabs>
              <w:spacing w:after="0" w:line="240" w:lineRule="exact"/>
              <w:ind w:left="-247"/>
              <w:contextualSpacing/>
              <w:rPr>
                <w:rFonts w:ascii="Times New Roman" w:eastAsia="Times New Roman" w:hAnsi="Times New Roman"/>
                <w:color w:val="FF0000"/>
                <w:sz w:val="24"/>
                <w:szCs w:val="24"/>
                <w:lang w:eastAsia="ru-RU"/>
              </w:rPr>
            </w:pPr>
            <w:bookmarkStart w:id="0" w:name="REGNUMDATESTAMP"/>
            <w:r w:rsidRPr="002C79E1">
              <w:rPr>
                <w:rFonts w:ascii="Times New Roman" w:eastAsia="Times New Roman" w:hAnsi="Times New Roman"/>
                <w:color w:val="FF0000"/>
                <w:sz w:val="24"/>
                <w:szCs w:val="24"/>
                <w:lang w:eastAsia="ru-RU"/>
              </w:rPr>
              <w:t>[</w:t>
            </w:r>
            <w:proofErr w:type="spellStart"/>
            <w:r w:rsidRPr="002C79E1">
              <w:rPr>
                <w:rFonts w:ascii="Times New Roman" w:eastAsia="Times New Roman" w:hAnsi="Times New Roman"/>
                <w:color w:val="FF0000"/>
                <w:sz w:val="24"/>
                <w:szCs w:val="24"/>
                <w:lang w:eastAsia="ru-RU"/>
              </w:rPr>
              <w:t>Авто_</w:t>
            </w:r>
            <w:proofErr w:type="gramStart"/>
            <w:r w:rsidRPr="002C79E1">
              <w:rPr>
                <w:rFonts w:ascii="Times New Roman" w:eastAsia="Times New Roman" w:hAnsi="Times New Roman"/>
                <w:color w:val="FF0000"/>
                <w:sz w:val="24"/>
                <w:szCs w:val="24"/>
                <w:lang w:eastAsia="ru-RU"/>
              </w:rPr>
              <w:t>рег.ном</w:t>
            </w:r>
            <w:proofErr w:type="spellEnd"/>
            <w:proofErr w:type="gramEnd"/>
            <w:r w:rsidRPr="002C79E1">
              <w:rPr>
                <w:rFonts w:ascii="Times New Roman" w:eastAsia="Times New Roman" w:hAnsi="Times New Roman"/>
                <w:color w:val="FF0000"/>
                <w:sz w:val="24"/>
                <w:szCs w:val="24"/>
                <w:lang w:eastAsia="ru-RU"/>
              </w:rPr>
              <w:t>]</w:t>
            </w:r>
            <w:bookmarkEnd w:id="0"/>
          </w:p>
          <w:p w:rsidR="002C79E1" w:rsidRPr="002C79E1" w:rsidRDefault="002C79E1" w:rsidP="002C79E1">
            <w:pPr>
              <w:widowControl w:val="0"/>
              <w:tabs>
                <w:tab w:val="left" w:leader="underscore" w:pos="1967"/>
                <w:tab w:val="left" w:leader="underscore" w:pos="3892"/>
              </w:tabs>
              <w:spacing w:after="0" w:line="240" w:lineRule="auto"/>
              <w:ind w:left="-68"/>
              <w:contextualSpacing/>
              <w:rPr>
                <w:rFonts w:ascii="Times New Roman" w:eastAsia="Times New Roman" w:hAnsi="Times New Roman"/>
                <w:color w:val="000000"/>
                <w:sz w:val="12"/>
                <w:szCs w:val="12"/>
                <w:shd w:val="clear" w:color="auto" w:fill="FFFFFF"/>
                <w:lang w:eastAsia="ru-RU"/>
              </w:rPr>
            </w:pPr>
          </w:p>
          <w:p w:rsidR="002C79E1" w:rsidRPr="002C79E1" w:rsidRDefault="002C79E1" w:rsidP="002C79E1">
            <w:pPr>
              <w:widowControl w:val="0"/>
              <w:tabs>
                <w:tab w:val="left" w:leader="underscore" w:pos="1967"/>
                <w:tab w:val="left" w:leader="underscore" w:pos="3892"/>
              </w:tabs>
              <w:spacing w:after="0" w:line="240" w:lineRule="exact"/>
              <w:ind w:left="-69"/>
              <w:contextualSpacing/>
              <w:rPr>
                <w:rFonts w:ascii="Times New Roman" w:eastAsia="Times New Roman" w:hAnsi="Times New Roman"/>
                <w:color w:val="000000"/>
                <w:sz w:val="12"/>
                <w:szCs w:val="12"/>
                <w:shd w:val="clear" w:color="auto" w:fill="FFFFFF"/>
                <w:lang w:eastAsia="ru-RU"/>
              </w:rPr>
            </w:pPr>
          </w:p>
          <w:p w:rsidR="002C79E1" w:rsidRPr="002C79E1" w:rsidRDefault="002C79E1" w:rsidP="002C79E1">
            <w:pPr>
              <w:widowControl w:val="0"/>
              <w:spacing w:after="0" w:line="240" w:lineRule="exact"/>
              <w:ind w:left="-120"/>
              <w:contextualSpacing/>
              <w:rPr>
                <w:rFonts w:ascii="Times New Roman" w:eastAsia="Times New Roman" w:hAnsi="Times New Roman"/>
                <w:color w:val="000000"/>
                <w:sz w:val="24"/>
                <w:szCs w:val="24"/>
                <w:shd w:val="clear" w:color="auto" w:fill="FFFFFF"/>
                <w:lang w:eastAsia="ru-RU"/>
              </w:rPr>
            </w:pPr>
            <w:r w:rsidRPr="002C79E1">
              <w:rPr>
                <w:rFonts w:ascii="Times New Roman" w:eastAsia="Times New Roman" w:hAnsi="Times New Roman"/>
                <w:color w:val="000000"/>
                <w:sz w:val="24"/>
                <w:szCs w:val="24"/>
                <w:shd w:val="clear" w:color="auto" w:fill="FFFFFF"/>
                <w:lang w:eastAsia="ru-RU"/>
              </w:rPr>
              <w:t xml:space="preserve">   На № ___________ от ____________</w:t>
            </w:r>
          </w:p>
        </w:tc>
        <w:tc>
          <w:tcPr>
            <w:tcW w:w="5069" w:type="dxa"/>
          </w:tcPr>
          <w:p w:rsidR="002C79E1" w:rsidRPr="002C79E1" w:rsidRDefault="002C79E1" w:rsidP="002C79E1">
            <w:pPr>
              <w:widowControl w:val="0"/>
              <w:shd w:val="clear" w:color="auto" w:fill="FFFFFF"/>
              <w:spacing w:after="180" w:line="240" w:lineRule="exact"/>
              <w:contextualSpacing/>
              <w:jc w:val="center"/>
              <w:rPr>
                <w:rFonts w:ascii="Times New Roman" w:eastAsia="Times New Roman" w:hAnsi="Times New Roman"/>
                <w:color w:val="000000"/>
                <w:sz w:val="28"/>
                <w:szCs w:val="28"/>
                <w:shd w:val="clear" w:color="auto" w:fill="FFFFFF"/>
                <w:lang w:eastAsia="ru-RU"/>
              </w:rPr>
            </w:pPr>
          </w:p>
          <w:p w:rsidR="009B09CF" w:rsidRDefault="009B09CF" w:rsidP="009B09CF">
            <w:pPr>
              <w:widowControl w:val="0"/>
              <w:spacing w:after="0" w:line="240" w:lineRule="auto"/>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Начальнику Информационно</w:t>
            </w:r>
          </w:p>
          <w:p w:rsidR="009B09CF" w:rsidRPr="009B09CF" w:rsidRDefault="009B09CF" w:rsidP="009B09CF">
            <w:pPr>
              <w:widowControl w:val="0"/>
              <w:spacing w:after="0" w:line="240" w:lineRule="auto"/>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w:t>
            </w:r>
            <w:r w:rsidRPr="009B09CF">
              <w:rPr>
                <w:rFonts w:ascii="Times New Roman" w:eastAsia="Times New Roman" w:hAnsi="Times New Roman"/>
                <w:b/>
                <w:color w:val="000000"/>
                <w:sz w:val="28"/>
                <w:szCs w:val="28"/>
                <w:shd w:val="clear" w:color="auto" w:fill="FFFFFF"/>
                <w:lang w:eastAsia="ru-RU"/>
              </w:rPr>
              <w:t xml:space="preserve">аналитического управления </w:t>
            </w:r>
          </w:p>
          <w:p w:rsidR="009B09CF" w:rsidRDefault="009B09CF" w:rsidP="009B09CF">
            <w:pPr>
              <w:widowControl w:val="0"/>
              <w:spacing w:after="0" w:line="240" w:lineRule="auto"/>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Народного Собрания (Парламента)</w:t>
            </w:r>
          </w:p>
          <w:p w:rsidR="009B09CF" w:rsidRPr="009B09CF" w:rsidRDefault="009B09CF" w:rsidP="009B09CF">
            <w:pPr>
              <w:widowControl w:val="0"/>
              <w:spacing w:after="0" w:line="240" w:lineRule="auto"/>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w:t>
            </w:r>
            <w:r w:rsidRPr="009B09CF">
              <w:rPr>
                <w:rFonts w:ascii="Times New Roman" w:eastAsia="Times New Roman" w:hAnsi="Times New Roman"/>
                <w:b/>
                <w:color w:val="000000"/>
                <w:sz w:val="28"/>
                <w:szCs w:val="28"/>
                <w:shd w:val="clear" w:color="auto" w:fill="FFFFFF"/>
                <w:lang w:eastAsia="ru-RU"/>
              </w:rPr>
              <w:t xml:space="preserve">Карачаево-Черкесской Республики </w:t>
            </w:r>
          </w:p>
          <w:p w:rsidR="009B09CF" w:rsidRPr="009B09CF" w:rsidRDefault="009B09CF" w:rsidP="009B09CF">
            <w:pPr>
              <w:widowControl w:val="0"/>
              <w:spacing w:after="0" w:line="240" w:lineRule="exact"/>
              <w:contextualSpacing/>
              <w:jc w:val="right"/>
              <w:rPr>
                <w:rFonts w:ascii="Times New Roman" w:eastAsia="Times New Roman" w:hAnsi="Times New Roman"/>
                <w:b/>
                <w:color w:val="000000"/>
                <w:sz w:val="28"/>
                <w:szCs w:val="28"/>
                <w:shd w:val="clear" w:color="auto" w:fill="FFFFFF"/>
                <w:lang w:eastAsia="ru-RU"/>
              </w:rPr>
            </w:pPr>
            <w:r w:rsidRPr="009B09CF">
              <w:rPr>
                <w:rFonts w:ascii="Times New Roman" w:eastAsia="Times New Roman" w:hAnsi="Times New Roman"/>
                <w:b/>
                <w:color w:val="000000"/>
                <w:sz w:val="28"/>
                <w:szCs w:val="28"/>
                <w:shd w:val="clear" w:color="auto" w:fill="FFFFFF"/>
                <w:lang w:eastAsia="ru-RU"/>
              </w:rPr>
              <w:t xml:space="preserve"> </w:t>
            </w:r>
          </w:p>
          <w:p w:rsidR="009B09CF" w:rsidRPr="009B09CF" w:rsidRDefault="009B09CF" w:rsidP="009B09CF">
            <w:pPr>
              <w:widowControl w:val="0"/>
              <w:spacing w:after="0" w:line="240" w:lineRule="exact"/>
              <w:contextualSpacing/>
              <w:rPr>
                <w:rFonts w:ascii="Times New Roman" w:eastAsia="Times New Roman" w:hAnsi="Times New Roman"/>
                <w:b/>
                <w:color w:val="000000"/>
                <w:sz w:val="28"/>
                <w:szCs w:val="28"/>
                <w:shd w:val="clear" w:color="auto" w:fill="FFFFFF"/>
                <w:lang w:eastAsia="ru-RU"/>
              </w:rPr>
            </w:pPr>
            <w:r>
              <w:rPr>
                <w:rFonts w:ascii="Times New Roman" w:eastAsia="Times New Roman" w:hAnsi="Times New Roman"/>
                <w:b/>
                <w:color w:val="000000"/>
                <w:sz w:val="28"/>
                <w:szCs w:val="28"/>
                <w:shd w:val="clear" w:color="auto" w:fill="FFFFFF"/>
                <w:lang w:eastAsia="ru-RU"/>
              </w:rPr>
              <w:t xml:space="preserve">    </w:t>
            </w:r>
            <w:r w:rsidRPr="009B09CF">
              <w:rPr>
                <w:rFonts w:ascii="Times New Roman" w:eastAsia="Times New Roman" w:hAnsi="Times New Roman"/>
                <w:b/>
                <w:color w:val="000000"/>
                <w:sz w:val="28"/>
                <w:szCs w:val="28"/>
                <w:shd w:val="clear" w:color="auto" w:fill="FFFFFF"/>
                <w:lang w:eastAsia="ru-RU"/>
              </w:rPr>
              <w:t xml:space="preserve">Н.В. Соколенко </w:t>
            </w:r>
          </w:p>
          <w:p w:rsidR="002C79E1" w:rsidRPr="002C79E1" w:rsidRDefault="002C79E1" w:rsidP="002C79E1">
            <w:pPr>
              <w:widowControl w:val="0"/>
              <w:spacing w:after="0" w:line="240" w:lineRule="exact"/>
              <w:contextualSpacing/>
              <w:jc w:val="right"/>
              <w:rPr>
                <w:rFonts w:ascii="Times New Roman" w:eastAsia="Times New Roman" w:hAnsi="Times New Roman"/>
                <w:color w:val="000000"/>
                <w:sz w:val="28"/>
                <w:szCs w:val="28"/>
                <w:shd w:val="clear" w:color="auto" w:fill="FFFFFF"/>
                <w:lang w:eastAsia="ru-RU"/>
              </w:rPr>
            </w:pPr>
          </w:p>
        </w:tc>
      </w:tr>
    </w:tbl>
    <w:p w:rsidR="002C79E1" w:rsidRPr="002C79E1" w:rsidRDefault="002C79E1" w:rsidP="002C79E1">
      <w:pPr>
        <w:spacing w:after="0" w:line="240" w:lineRule="auto"/>
        <w:rPr>
          <w:rFonts w:ascii="Times New Roman" w:eastAsia="Times New Roman" w:hAnsi="Times New Roman"/>
          <w:color w:val="0000FF"/>
          <w:sz w:val="28"/>
          <w:szCs w:val="24"/>
          <w:lang w:eastAsia="ru-RU"/>
        </w:rPr>
      </w:pPr>
    </w:p>
    <w:p w:rsidR="002C79E1" w:rsidRPr="002C79E1" w:rsidRDefault="002C79E1" w:rsidP="002C79E1">
      <w:pPr>
        <w:jc w:val="center"/>
        <w:rPr>
          <w:rFonts w:ascii="Times New Roman" w:hAnsi="Times New Roman"/>
          <w:b/>
          <w:sz w:val="28"/>
        </w:rPr>
      </w:pPr>
    </w:p>
    <w:p w:rsidR="002C79E1" w:rsidRPr="002C79E1" w:rsidRDefault="002C79E1" w:rsidP="002C79E1">
      <w:pPr>
        <w:jc w:val="center"/>
        <w:rPr>
          <w:rFonts w:ascii="Times New Roman" w:hAnsi="Times New Roman"/>
          <w:b/>
          <w:sz w:val="28"/>
        </w:rPr>
      </w:pPr>
    </w:p>
    <w:p w:rsidR="009B09CF" w:rsidRPr="009B09CF" w:rsidRDefault="009B09CF" w:rsidP="009B09CF">
      <w:pPr>
        <w:spacing w:after="0" w:line="240" w:lineRule="auto"/>
        <w:jc w:val="center"/>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Уважаемая Наталья Викторовна!</w:t>
      </w:r>
    </w:p>
    <w:p w:rsidR="009B09CF" w:rsidRPr="009B09CF" w:rsidRDefault="009B09CF" w:rsidP="009B09CF">
      <w:pPr>
        <w:spacing w:after="0" w:line="240" w:lineRule="auto"/>
        <w:jc w:val="center"/>
        <w:rPr>
          <w:rFonts w:ascii="Times New Roman" w:eastAsia="Times New Roman" w:hAnsi="Times New Roman"/>
          <w:sz w:val="28"/>
          <w:szCs w:val="24"/>
          <w:lang w:eastAsia="ru-RU"/>
        </w:rPr>
      </w:pPr>
    </w:p>
    <w:p w:rsid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 xml:space="preserve">Во исполнение Распоряжения Председателя Народного Собрания (Парламента) Карачаево-Черкесской Республики от 20 января 2011 г. </w:t>
      </w:r>
      <w:r>
        <w:rPr>
          <w:rFonts w:ascii="Times New Roman" w:eastAsia="Times New Roman" w:hAnsi="Times New Roman"/>
          <w:sz w:val="28"/>
          <w:szCs w:val="24"/>
          <w:lang w:eastAsia="ru-RU"/>
        </w:rPr>
        <w:t xml:space="preserve">№ 1 </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О результатах деятельности аппарата Народного Собрания (Парламента) Карачаево-Черкесской Республики за отчетный период» направляю отчет Организационного управления за 2022 год.</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Приложение на 5 л. в 1 экз.</w:t>
      </w:r>
    </w:p>
    <w:p w:rsidR="002C79E1" w:rsidRPr="002C79E1" w:rsidRDefault="002C79E1" w:rsidP="009B09CF">
      <w:pPr>
        <w:jc w:val="both"/>
        <w:rPr>
          <w:rFonts w:ascii="Times New Roman" w:hAnsi="Times New Roman"/>
          <w:sz w:val="28"/>
        </w:rPr>
      </w:pPr>
    </w:p>
    <w:tbl>
      <w:tblPr>
        <w:tblW w:w="10060" w:type="dxa"/>
        <w:tblInd w:w="-426" w:type="dxa"/>
        <w:tblLayout w:type="fixed"/>
        <w:tblCellMar>
          <w:left w:w="0" w:type="dxa"/>
          <w:right w:w="0" w:type="dxa"/>
        </w:tblCellMar>
        <w:tblLook w:val="0000" w:firstRow="0" w:lastRow="0" w:firstColumn="0" w:lastColumn="0" w:noHBand="0" w:noVBand="0"/>
      </w:tblPr>
      <w:tblGrid>
        <w:gridCol w:w="3261"/>
        <w:gridCol w:w="4673"/>
        <w:gridCol w:w="2126"/>
      </w:tblGrid>
      <w:tr w:rsidR="002C79E1" w:rsidRPr="002C79E1" w:rsidTr="003D1555">
        <w:trPr>
          <w:trHeight w:hRule="exact" w:val="1474"/>
        </w:trPr>
        <w:tc>
          <w:tcPr>
            <w:tcW w:w="3261" w:type="dxa"/>
            <w:shd w:val="clear" w:color="auto" w:fill="auto"/>
            <w:vAlign w:val="bottom"/>
          </w:tcPr>
          <w:p w:rsidR="002C79E1" w:rsidRPr="002C79E1" w:rsidRDefault="002C79E1" w:rsidP="002C79E1">
            <w:pPr>
              <w:spacing w:after="0" w:line="240" w:lineRule="auto"/>
              <w:rPr>
                <w:rFonts w:ascii="Times New Roman" w:eastAsia="Times New Roman" w:hAnsi="Times New Roman"/>
                <w:sz w:val="28"/>
                <w:szCs w:val="28"/>
                <w:lang w:eastAsia="ru-RU"/>
              </w:rPr>
            </w:pPr>
            <w:r>
              <w:rPr>
                <w:rFonts w:ascii="Times New Roman" w:hAnsi="Times New Roman"/>
                <w:b/>
                <w:sz w:val="28"/>
                <w:szCs w:val="28"/>
              </w:rPr>
              <w:t>Начальник Управления</w:t>
            </w:r>
          </w:p>
        </w:tc>
        <w:tc>
          <w:tcPr>
            <w:tcW w:w="4673" w:type="dxa"/>
          </w:tcPr>
          <w:p w:rsidR="00710A3E" w:rsidRDefault="00710A3E" w:rsidP="002C79E1">
            <w:pPr>
              <w:spacing w:after="0" w:line="240" w:lineRule="auto"/>
              <w:rPr>
                <w:rFonts w:ascii="Times New Roman" w:eastAsia="Times New Roman" w:hAnsi="Times New Roman"/>
                <w:color w:val="FF0000"/>
                <w:sz w:val="24"/>
                <w:szCs w:val="28"/>
                <w:lang w:val="en-US" w:eastAsia="ru-RU"/>
              </w:rPr>
            </w:pPr>
            <w:bookmarkStart w:id="1" w:name="SIGNERSTAMP1"/>
          </w:p>
          <w:p w:rsidR="00710A3E" w:rsidRDefault="00710A3E" w:rsidP="002C79E1">
            <w:pPr>
              <w:spacing w:after="0" w:line="240" w:lineRule="auto"/>
              <w:rPr>
                <w:rFonts w:ascii="Times New Roman" w:eastAsia="Times New Roman" w:hAnsi="Times New Roman"/>
                <w:color w:val="FF0000"/>
                <w:sz w:val="24"/>
                <w:szCs w:val="28"/>
                <w:lang w:val="en-US" w:eastAsia="ru-RU"/>
              </w:rPr>
            </w:pPr>
          </w:p>
          <w:p w:rsidR="00710A3E" w:rsidRDefault="00710A3E" w:rsidP="002C79E1">
            <w:pPr>
              <w:spacing w:after="0" w:line="240" w:lineRule="auto"/>
              <w:rPr>
                <w:rFonts w:ascii="Times New Roman" w:eastAsia="Times New Roman" w:hAnsi="Times New Roman"/>
                <w:color w:val="FF0000"/>
                <w:sz w:val="24"/>
                <w:szCs w:val="28"/>
                <w:lang w:val="en-US" w:eastAsia="ru-RU"/>
              </w:rPr>
            </w:pPr>
          </w:p>
          <w:p w:rsidR="00710A3E" w:rsidRDefault="00710A3E" w:rsidP="002C79E1">
            <w:pPr>
              <w:spacing w:after="0" w:line="240" w:lineRule="auto"/>
              <w:rPr>
                <w:rFonts w:ascii="Times New Roman" w:eastAsia="Times New Roman" w:hAnsi="Times New Roman"/>
                <w:color w:val="FF0000"/>
                <w:sz w:val="24"/>
                <w:szCs w:val="28"/>
                <w:lang w:val="en-US" w:eastAsia="ru-RU"/>
              </w:rPr>
            </w:pPr>
          </w:p>
          <w:p w:rsidR="002C79E1" w:rsidRPr="002C79E1" w:rsidRDefault="002C79E1" w:rsidP="002C79E1">
            <w:pPr>
              <w:spacing w:after="0" w:line="240" w:lineRule="auto"/>
              <w:rPr>
                <w:rFonts w:ascii="Times New Roman" w:eastAsia="Times New Roman" w:hAnsi="Times New Roman"/>
                <w:sz w:val="28"/>
                <w:szCs w:val="28"/>
                <w:lang w:eastAsia="ru-RU"/>
              </w:rPr>
            </w:pPr>
            <w:r w:rsidRPr="002C79E1">
              <w:rPr>
                <w:rFonts w:ascii="Times New Roman" w:eastAsia="Times New Roman" w:hAnsi="Times New Roman"/>
                <w:color w:val="FF0000"/>
                <w:sz w:val="24"/>
                <w:szCs w:val="28"/>
                <w:lang w:val="en-US" w:eastAsia="ru-RU"/>
              </w:rPr>
              <w:t>[</w:t>
            </w:r>
            <w:proofErr w:type="spellStart"/>
            <w:r w:rsidRPr="002C79E1">
              <w:rPr>
                <w:rFonts w:ascii="Times New Roman" w:eastAsia="Times New Roman" w:hAnsi="Times New Roman"/>
                <w:color w:val="FF0000"/>
                <w:sz w:val="24"/>
                <w:szCs w:val="28"/>
                <w:lang w:eastAsia="ru-RU"/>
              </w:rPr>
              <w:t>Авто_Штамп_ЭП</w:t>
            </w:r>
            <w:proofErr w:type="spellEnd"/>
            <w:r w:rsidRPr="002C79E1">
              <w:rPr>
                <w:rFonts w:ascii="Times New Roman" w:eastAsia="Times New Roman" w:hAnsi="Times New Roman"/>
                <w:color w:val="FF0000"/>
                <w:sz w:val="24"/>
                <w:szCs w:val="28"/>
                <w:lang w:eastAsia="ru-RU"/>
              </w:rPr>
              <w:t>]</w:t>
            </w:r>
            <w:bookmarkEnd w:id="1"/>
          </w:p>
        </w:tc>
        <w:tc>
          <w:tcPr>
            <w:tcW w:w="2126" w:type="dxa"/>
            <w:shd w:val="clear" w:color="auto" w:fill="auto"/>
            <w:vAlign w:val="bottom"/>
          </w:tcPr>
          <w:p w:rsidR="002C79E1" w:rsidRPr="00752419" w:rsidRDefault="00685B00" w:rsidP="002C79E1">
            <w:pPr>
              <w:spacing w:after="0" w:line="240" w:lineRule="auto"/>
              <w:jc w:val="right"/>
              <w:rPr>
                <w:rFonts w:ascii="Times New Roman" w:eastAsia="Times New Roman" w:hAnsi="Times New Roman"/>
                <w:color w:val="000000"/>
                <w:sz w:val="28"/>
                <w:szCs w:val="28"/>
                <w:lang w:eastAsia="ru-RU"/>
              </w:rPr>
            </w:pPr>
            <w:r>
              <w:rPr>
                <w:rFonts w:ascii="Times New Roman" w:hAnsi="Times New Roman"/>
                <w:b/>
                <w:sz w:val="28"/>
                <w:szCs w:val="28"/>
              </w:rPr>
              <w:t>И.А. Мамхягова</w:t>
            </w:r>
          </w:p>
        </w:tc>
      </w:tr>
    </w:tbl>
    <w:p w:rsidR="002C79E1" w:rsidRPr="002C79E1" w:rsidRDefault="002C79E1" w:rsidP="002C79E1">
      <w:pPr>
        <w:jc w:val="both"/>
        <w:rPr>
          <w:rFonts w:ascii="Times New Roman" w:hAnsi="Times New Roman"/>
          <w:sz w:val="28"/>
        </w:rPr>
      </w:pPr>
    </w:p>
    <w:p w:rsidR="002C79E1" w:rsidRPr="002C79E1" w:rsidRDefault="002C79E1" w:rsidP="002C79E1">
      <w:pPr>
        <w:jc w:val="both"/>
        <w:rPr>
          <w:rFonts w:ascii="Times New Roman" w:hAnsi="Times New Roman"/>
          <w:sz w:val="28"/>
        </w:rPr>
      </w:pPr>
    </w:p>
    <w:p w:rsidR="00F01AA6" w:rsidRDefault="00F01AA6" w:rsidP="002C79E1">
      <w:pPr>
        <w:rPr>
          <w:rFonts w:ascii="Times New Roman" w:hAnsi="Times New Roman"/>
          <w:b/>
          <w:sz w:val="28"/>
          <w:szCs w:val="28"/>
        </w:rPr>
      </w:pPr>
    </w:p>
    <w:p w:rsidR="009B09CF" w:rsidRPr="009B09CF" w:rsidRDefault="009B09CF" w:rsidP="009B09CF">
      <w:pPr>
        <w:spacing w:after="0" w:line="360" w:lineRule="auto"/>
        <w:jc w:val="center"/>
        <w:rPr>
          <w:rFonts w:ascii="Times New Roman" w:eastAsia="Times New Roman" w:hAnsi="Times New Roman"/>
          <w:b/>
          <w:sz w:val="28"/>
          <w:szCs w:val="24"/>
          <w:lang w:eastAsia="ru-RU"/>
        </w:rPr>
      </w:pPr>
      <w:r w:rsidRPr="009B09CF">
        <w:rPr>
          <w:rFonts w:ascii="Times New Roman" w:eastAsia="Times New Roman" w:hAnsi="Times New Roman"/>
          <w:b/>
          <w:sz w:val="28"/>
          <w:szCs w:val="24"/>
          <w:lang w:eastAsia="ru-RU"/>
        </w:rPr>
        <w:lastRenderedPageBreak/>
        <w:t>ОТЧЕТ</w:t>
      </w:r>
    </w:p>
    <w:p w:rsidR="009B09CF" w:rsidRPr="009B09CF" w:rsidRDefault="009B09CF" w:rsidP="009B09CF">
      <w:pPr>
        <w:spacing w:after="0" w:line="360" w:lineRule="auto"/>
        <w:jc w:val="center"/>
        <w:rPr>
          <w:rFonts w:ascii="Times New Roman" w:eastAsia="Times New Roman" w:hAnsi="Times New Roman"/>
          <w:b/>
          <w:sz w:val="28"/>
          <w:szCs w:val="24"/>
          <w:lang w:eastAsia="ru-RU"/>
        </w:rPr>
      </w:pPr>
      <w:r w:rsidRPr="009B09CF">
        <w:rPr>
          <w:rFonts w:ascii="Times New Roman" w:eastAsia="Times New Roman" w:hAnsi="Times New Roman"/>
          <w:b/>
          <w:sz w:val="28"/>
          <w:szCs w:val="24"/>
          <w:lang w:eastAsia="ru-RU"/>
        </w:rPr>
        <w:t>об итогах работы Организационного управления</w:t>
      </w:r>
    </w:p>
    <w:p w:rsidR="009B09CF" w:rsidRPr="009B09CF" w:rsidRDefault="009B09CF" w:rsidP="009B09CF">
      <w:pPr>
        <w:spacing w:after="0" w:line="360" w:lineRule="auto"/>
        <w:jc w:val="center"/>
        <w:rPr>
          <w:rFonts w:ascii="Times New Roman" w:eastAsia="Times New Roman" w:hAnsi="Times New Roman"/>
          <w:b/>
          <w:sz w:val="28"/>
          <w:szCs w:val="24"/>
          <w:lang w:eastAsia="ru-RU"/>
        </w:rPr>
      </w:pPr>
      <w:r w:rsidRPr="009B09CF">
        <w:rPr>
          <w:rFonts w:ascii="Times New Roman" w:eastAsia="Times New Roman" w:hAnsi="Times New Roman"/>
          <w:b/>
          <w:sz w:val="28"/>
          <w:szCs w:val="24"/>
          <w:lang w:eastAsia="ru-RU"/>
        </w:rPr>
        <w:t>Народного Собрания (Парламента) Карачаево-Черкесской Республики за 2022 год</w:t>
      </w:r>
    </w:p>
    <w:p w:rsidR="009B09CF" w:rsidRPr="009B09CF" w:rsidRDefault="009B09CF" w:rsidP="009B09CF">
      <w:pPr>
        <w:spacing w:after="0" w:line="360" w:lineRule="auto"/>
        <w:jc w:val="both"/>
        <w:rPr>
          <w:rFonts w:ascii="Times New Roman" w:eastAsia="Times New Roman" w:hAnsi="Times New Roman"/>
          <w:b/>
          <w:sz w:val="28"/>
          <w:szCs w:val="24"/>
          <w:lang w:eastAsia="ru-RU"/>
        </w:rPr>
      </w:pP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b/>
          <w:sz w:val="28"/>
          <w:szCs w:val="24"/>
          <w:lang w:eastAsia="ru-RU"/>
        </w:rPr>
        <w:tab/>
      </w:r>
      <w:r w:rsidRPr="009B09CF">
        <w:rPr>
          <w:rFonts w:ascii="Times New Roman" w:eastAsia="Times New Roman" w:hAnsi="Times New Roman"/>
          <w:sz w:val="28"/>
          <w:szCs w:val="24"/>
          <w:lang w:eastAsia="ru-RU"/>
        </w:rPr>
        <w:t>В соответствии с Положением об аппарате Народного Собрания (Парламента) Карачаево-Черкесской Республики, Положением об Организационном управлении Народного Собрания в 2022 году Организационным управлением была проделана следующая работа:</w:t>
      </w:r>
    </w:p>
    <w:p w:rsidR="009B09CF" w:rsidRPr="009B09CF" w:rsidRDefault="009B09CF" w:rsidP="009B09CF">
      <w:pPr>
        <w:spacing w:after="0" w:line="360" w:lineRule="auto"/>
        <w:jc w:val="both"/>
        <w:rPr>
          <w:rFonts w:ascii="Times New Roman" w:eastAsia="Times New Roman" w:hAnsi="Times New Roman"/>
          <w:sz w:val="28"/>
          <w:szCs w:val="24"/>
          <w:lang w:eastAsia="ru-RU"/>
        </w:rPr>
      </w:pPr>
    </w:p>
    <w:p w:rsidR="009B09CF" w:rsidRPr="009B09CF" w:rsidRDefault="009B09CF" w:rsidP="009B09CF">
      <w:pPr>
        <w:spacing w:after="0" w:line="360" w:lineRule="auto"/>
        <w:jc w:val="center"/>
        <w:rPr>
          <w:rFonts w:ascii="Times New Roman" w:eastAsia="Times New Roman" w:hAnsi="Times New Roman"/>
          <w:b/>
          <w:sz w:val="28"/>
          <w:szCs w:val="24"/>
          <w:lang w:eastAsia="ru-RU"/>
        </w:rPr>
      </w:pPr>
      <w:r w:rsidRPr="009B09CF">
        <w:rPr>
          <w:rFonts w:ascii="Times New Roman" w:eastAsia="Times New Roman" w:hAnsi="Times New Roman"/>
          <w:b/>
          <w:sz w:val="28"/>
          <w:szCs w:val="24"/>
          <w:lang w:eastAsia="ru-RU"/>
        </w:rPr>
        <w:t>1. Организационное обеспечение деятельности</w:t>
      </w:r>
    </w:p>
    <w:p w:rsidR="009B09CF" w:rsidRPr="009B09CF" w:rsidRDefault="009B09CF" w:rsidP="009B09CF">
      <w:pPr>
        <w:spacing w:after="0" w:line="360" w:lineRule="auto"/>
        <w:jc w:val="center"/>
        <w:rPr>
          <w:rFonts w:ascii="Times New Roman" w:eastAsia="Times New Roman" w:hAnsi="Times New Roman"/>
          <w:b/>
          <w:sz w:val="28"/>
          <w:szCs w:val="24"/>
          <w:lang w:eastAsia="ru-RU"/>
        </w:rPr>
      </w:pPr>
      <w:r w:rsidRPr="009B09CF">
        <w:rPr>
          <w:rFonts w:ascii="Times New Roman" w:eastAsia="Times New Roman" w:hAnsi="Times New Roman"/>
          <w:b/>
          <w:sz w:val="28"/>
          <w:szCs w:val="24"/>
          <w:lang w:eastAsia="ru-RU"/>
        </w:rPr>
        <w:t>Народного Собрания (Парламента) Карачаево-Черкесской Республики</w:t>
      </w:r>
    </w:p>
    <w:p w:rsidR="009B09CF" w:rsidRPr="009B09CF" w:rsidRDefault="009B09CF" w:rsidP="009B09CF">
      <w:pPr>
        <w:spacing w:after="0" w:line="360" w:lineRule="auto"/>
        <w:jc w:val="both"/>
        <w:rPr>
          <w:rFonts w:ascii="Times New Roman" w:eastAsia="Times New Roman" w:hAnsi="Times New Roman"/>
          <w:sz w:val="28"/>
          <w:szCs w:val="24"/>
          <w:lang w:eastAsia="ru-RU"/>
        </w:rPr>
      </w:pP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Проведены организационные мероприятия по подготовке и проведению 10 сессий Народного Собрания (Парламента) КЧР, а именно: подготовка проектов повесток дня сессий, постановлений Президиума  Парламента республики и распоряжений Председателя Парламента республики о созыве и повестке дня сессий Народного Собрания (Парламента) КЧР, формирование порядка ведения сессий, оповещение депутатов и приглашенных о начале работы сессий, заседаний фракций, организация регистрации приглашенных перед началом сессий и дежурства  во время сессий.</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Оказывалось содействие в организационно-процедурном обеспечении деятельности депутатских фракций Народного Собрания (перерегистрировано 5 фракции  шестого созыва Народного Собрания, оформлено 10 протоколов заседаний депутатской фракции «Единая Россия» в Народном Собрании, члены фракции «Единая Россия» постоянно информировались о дежурстве в общественной приемной Председателя партии «Единая Россия»                        Д.А. Медведева, оказывалась консультативная помощь другим депутатским фракциям в Народном Собрании (Парламенте) КЧР).</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lastRenderedPageBreak/>
        <w:tab/>
        <w:t xml:space="preserve">Сформированы на базе предложений депутатов Народного Собрания, обобщенных комитетами Народного Собрания (Парламента) КЧР, Главы Карачаево-Черкесской Республики, Правительства Карачаево-Черкесской Республики и других субъектов права законодательной инициативы проекты планов Народного Собрания (Парламента) КЧР на </w:t>
      </w:r>
      <w:r w:rsidRPr="009B09CF">
        <w:rPr>
          <w:rFonts w:ascii="Times New Roman" w:eastAsia="Times New Roman" w:hAnsi="Times New Roman"/>
          <w:sz w:val="28"/>
          <w:szCs w:val="24"/>
          <w:lang w:val="en-US" w:eastAsia="ru-RU"/>
        </w:rPr>
        <w:t>II</w:t>
      </w:r>
      <w:r w:rsidRPr="009B09CF">
        <w:rPr>
          <w:rFonts w:ascii="Times New Roman" w:eastAsia="Times New Roman" w:hAnsi="Times New Roman"/>
          <w:sz w:val="28"/>
          <w:szCs w:val="24"/>
          <w:lang w:eastAsia="ru-RU"/>
        </w:rPr>
        <w:t xml:space="preserve">, </w:t>
      </w:r>
      <w:r w:rsidRPr="009B09CF">
        <w:rPr>
          <w:rFonts w:ascii="Times New Roman" w:eastAsia="Times New Roman" w:hAnsi="Times New Roman"/>
          <w:sz w:val="28"/>
          <w:szCs w:val="24"/>
          <w:lang w:val="en-US" w:eastAsia="ru-RU"/>
        </w:rPr>
        <w:t>III</w:t>
      </w:r>
      <w:r w:rsidRPr="009B09CF">
        <w:rPr>
          <w:rFonts w:ascii="Times New Roman" w:eastAsia="Times New Roman" w:hAnsi="Times New Roman"/>
          <w:sz w:val="28"/>
          <w:szCs w:val="24"/>
          <w:lang w:eastAsia="ru-RU"/>
        </w:rPr>
        <w:t xml:space="preserve">, </w:t>
      </w:r>
      <w:r w:rsidRPr="009B09CF">
        <w:rPr>
          <w:rFonts w:ascii="Times New Roman" w:eastAsia="Times New Roman" w:hAnsi="Times New Roman"/>
          <w:sz w:val="28"/>
          <w:szCs w:val="24"/>
          <w:lang w:val="en-US" w:eastAsia="ru-RU"/>
        </w:rPr>
        <w:t>IV</w:t>
      </w:r>
      <w:r w:rsidRPr="009B09CF">
        <w:rPr>
          <w:rFonts w:ascii="Times New Roman" w:eastAsia="Times New Roman" w:hAnsi="Times New Roman"/>
          <w:sz w:val="28"/>
          <w:szCs w:val="24"/>
          <w:lang w:eastAsia="ru-RU"/>
        </w:rPr>
        <w:t xml:space="preserve"> кварталы 2022 года и на </w:t>
      </w:r>
      <w:r w:rsidRPr="009B09CF">
        <w:rPr>
          <w:rFonts w:ascii="Times New Roman" w:eastAsia="Times New Roman" w:hAnsi="Times New Roman"/>
          <w:sz w:val="28"/>
          <w:szCs w:val="24"/>
          <w:lang w:val="en-US" w:eastAsia="ru-RU"/>
        </w:rPr>
        <w:t>I</w:t>
      </w:r>
      <w:r w:rsidRPr="009B09CF">
        <w:rPr>
          <w:rFonts w:ascii="Times New Roman" w:eastAsia="Times New Roman" w:hAnsi="Times New Roman"/>
          <w:sz w:val="28"/>
          <w:szCs w:val="24"/>
          <w:lang w:eastAsia="ru-RU"/>
        </w:rPr>
        <w:t xml:space="preserve"> квартал 2023 года, а также план законопроектных работ Народного Собрания (Парламента) КЧР на 2023 год.</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Оказывалась консультативная помощь депутатам Парламента в оформлении депутатских запросов и обращений в министерства и ведомства.</w:t>
      </w:r>
      <w:r w:rsidRPr="009B09CF">
        <w:rPr>
          <w:rFonts w:ascii="Times New Roman" w:eastAsia="Times New Roman" w:hAnsi="Times New Roman"/>
          <w:sz w:val="28"/>
          <w:szCs w:val="24"/>
          <w:lang w:eastAsia="ru-RU"/>
        </w:rPr>
        <w:tab/>
        <w:t>Ведется постоянный учет и анализ состава депутатского корпуса.</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Проводилась работа по обеспечению взаимодействия депутатов Парламента республики с членами Южно-Российской Парламентской Ассоциации, их участие в Конференциях ЮРПА в режиме видеоконференции.</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Оказывалось содействие в работе депутатам Государственной Думы и сенаторам Совета Федерации Федерального Собрания РФ от                             Карачаево-Черкесской Республике и их помощникам. Составлялись справки и информации по запросам Аппарата Совета Федерации и Государственной Думы Федерального Собрания РФ.</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r>
    </w:p>
    <w:p w:rsidR="009B09CF" w:rsidRPr="009B09CF" w:rsidRDefault="009B09CF" w:rsidP="009B09CF">
      <w:pPr>
        <w:spacing w:after="0" w:line="360" w:lineRule="auto"/>
        <w:jc w:val="center"/>
        <w:rPr>
          <w:rFonts w:ascii="Times New Roman" w:eastAsia="Times New Roman" w:hAnsi="Times New Roman"/>
          <w:b/>
          <w:sz w:val="28"/>
          <w:szCs w:val="24"/>
          <w:lang w:eastAsia="ru-RU"/>
        </w:rPr>
      </w:pPr>
      <w:r w:rsidRPr="009B09CF">
        <w:rPr>
          <w:rFonts w:ascii="Times New Roman" w:eastAsia="Times New Roman" w:hAnsi="Times New Roman"/>
          <w:b/>
          <w:sz w:val="28"/>
          <w:szCs w:val="24"/>
          <w:lang w:eastAsia="ru-RU"/>
        </w:rPr>
        <w:t>2. Реализация в Народном Собрании (</w:t>
      </w:r>
      <w:proofErr w:type="gramStart"/>
      <w:r w:rsidRPr="009B09CF">
        <w:rPr>
          <w:rFonts w:ascii="Times New Roman" w:eastAsia="Times New Roman" w:hAnsi="Times New Roman"/>
          <w:b/>
          <w:sz w:val="28"/>
          <w:szCs w:val="24"/>
          <w:lang w:eastAsia="ru-RU"/>
        </w:rPr>
        <w:t xml:space="preserve">Парламенте)   </w:t>
      </w:r>
      <w:proofErr w:type="gramEnd"/>
      <w:r w:rsidRPr="009B09CF">
        <w:rPr>
          <w:rFonts w:ascii="Times New Roman" w:eastAsia="Times New Roman" w:hAnsi="Times New Roman"/>
          <w:b/>
          <w:sz w:val="28"/>
          <w:szCs w:val="24"/>
          <w:lang w:eastAsia="ru-RU"/>
        </w:rPr>
        <w:t xml:space="preserve">                           Карачаево-Черкесской Республики законодательства о государственной гражданской службе и труде</w:t>
      </w:r>
    </w:p>
    <w:p w:rsidR="009B09CF" w:rsidRPr="009B09CF" w:rsidRDefault="009B09CF" w:rsidP="009B09CF">
      <w:pPr>
        <w:spacing w:after="0" w:line="360" w:lineRule="auto"/>
        <w:jc w:val="both"/>
        <w:rPr>
          <w:rFonts w:ascii="Times New Roman" w:eastAsia="Times New Roman" w:hAnsi="Times New Roman"/>
          <w:sz w:val="28"/>
          <w:szCs w:val="24"/>
          <w:lang w:eastAsia="ru-RU"/>
        </w:rPr>
      </w:pP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Осуществлялась подготовка проектов распоряжений Председателя Народного Собрания, связанных с поступлением на республиканскую государственную гражданскую службу, ее прохождением, заключением служебного контракта, назначением на должность гражданской службы, освобождением от замещаемой должности гражданской службы, увольнением республиканского государственного гражданского служащего с гражданской службы и выходом его на пенсию:</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lastRenderedPageBreak/>
        <w:tab/>
        <w:t>- подготовлено 113 распоряжения Председателя Народного Собрания (Парламента) КЧР по личному составу.</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 xml:space="preserve">- оформлено 8 служебных контрактов и дополнений к служебным контрактам о прохождении гражданской службы. Оформлены соответствующие документы для присвоения гражданским служащим классных чинов (3 представления). </w:t>
      </w:r>
    </w:p>
    <w:p w:rsidR="009B09CF" w:rsidRP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 xml:space="preserve">Осуществлялась подготовка проектов постановлений Народного Собрания (Парламента) КЧР по кадровым и организационным вопросам                                             </w:t>
      </w:r>
      <w:proofErr w:type="gramStart"/>
      <w:r w:rsidRPr="009B09CF">
        <w:rPr>
          <w:rFonts w:ascii="Times New Roman" w:eastAsia="Times New Roman" w:hAnsi="Times New Roman"/>
          <w:sz w:val="28"/>
          <w:szCs w:val="24"/>
          <w:lang w:eastAsia="ru-RU"/>
        </w:rPr>
        <w:t xml:space="preserve">   (</w:t>
      </w:r>
      <w:proofErr w:type="gramEnd"/>
      <w:r w:rsidRPr="009B09CF">
        <w:rPr>
          <w:rFonts w:ascii="Times New Roman" w:eastAsia="Times New Roman" w:hAnsi="Times New Roman"/>
          <w:sz w:val="28"/>
          <w:szCs w:val="24"/>
          <w:lang w:eastAsia="ru-RU"/>
        </w:rPr>
        <w:t>7 постановлений).</w:t>
      </w:r>
      <w:r w:rsidRPr="009B09CF">
        <w:rPr>
          <w:rFonts w:ascii="Times New Roman" w:eastAsia="Times New Roman" w:hAnsi="Times New Roman"/>
          <w:sz w:val="28"/>
          <w:szCs w:val="24"/>
          <w:lang w:eastAsia="ru-RU"/>
        </w:rPr>
        <w:tab/>
      </w:r>
    </w:p>
    <w:p w:rsidR="009B09CF" w:rsidRP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Велась работа в Единой информационной системе управления кадровым составом государственной гражданской службы Российской Федерации. Оформлены электронные личные дела гражданских служащих Народного Собрания (Парламента) КЧР.</w:t>
      </w:r>
    </w:p>
    <w:p w:rsidR="009B09CF" w:rsidRP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Осуществлялась подготовка к утверждению изменения в штатное расписание на 2022 год (3 постановления Президиума Народного Собрания (Парламента) КЧР.</w:t>
      </w:r>
    </w:p>
    <w:p w:rsidR="009B09CF" w:rsidRP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 xml:space="preserve">Обеспечивалась организация и оформление документов аттестации гражданских служащих Народного Собрания (Парламента) КЧР                             </w:t>
      </w:r>
      <w:proofErr w:type="gramStart"/>
      <w:r w:rsidRPr="009B09CF">
        <w:rPr>
          <w:rFonts w:ascii="Times New Roman" w:eastAsia="Times New Roman" w:hAnsi="Times New Roman"/>
          <w:sz w:val="28"/>
          <w:szCs w:val="24"/>
          <w:lang w:eastAsia="ru-RU"/>
        </w:rPr>
        <w:t xml:space="preserve">   (</w:t>
      </w:r>
      <w:proofErr w:type="gramEnd"/>
      <w:r w:rsidRPr="009B09CF">
        <w:rPr>
          <w:rFonts w:ascii="Times New Roman" w:eastAsia="Times New Roman" w:hAnsi="Times New Roman"/>
          <w:sz w:val="28"/>
          <w:szCs w:val="24"/>
          <w:lang w:eastAsia="ru-RU"/>
        </w:rPr>
        <w:t>36 аттестуемых), проведенной 6-7 декабря 2022 года (оформление протоколов аттестационной комиссии и аттестационных листов).</w:t>
      </w:r>
    </w:p>
    <w:p w:rsidR="009B09CF" w:rsidRP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Обеспечивалась организация и оформление документов по проведению конкурса на включение граждан (гражданских служащих) в кадровый резерв для замещения вакантных должностей государственной гражданской службы Карачаево-Черкесской Республики в Народном Собрании (Парламенте) Карачаево-Черкесской Республики (распоряжение Председателя Народного Собрания (Парламента) КЧР об объявлении конкурса, размещение объявления о проведении конкурса в Единой информационной системе, сбор и проверка  документов от претендентов для участия в конкурсе, подготовка материалов для членов конкурсной комиссии, оформление протоколов заседаний конкурсной комиссии).</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lastRenderedPageBreak/>
        <w:tab/>
        <w:t xml:space="preserve">Велся учет ежегодных оплачиваемых отпусков: составлен и утвержден график отпусков сотрудников Народного Собрания на 2022 год, оформлено 78 распоряжений Председателя Парламента о предоставлении отпусков (в </w:t>
      </w:r>
      <w:proofErr w:type="spellStart"/>
      <w:r w:rsidRPr="009B09CF">
        <w:rPr>
          <w:rFonts w:ascii="Times New Roman" w:eastAsia="Times New Roman" w:hAnsi="Times New Roman"/>
          <w:sz w:val="28"/>
          <w:szCs w:val="24"/>
          <w:lang w:eastAsia="ru-RU"/>
        </w:rPr>
        <w:t>т.ч</w:t>
      </w:r>
      <w:proofErr w:type="spellEnd"/>
      <w:r w:rsidRPr="009B09CF">
        <w:rPr>
          <w:rFonts w:ascii="Times New Roman" w:eastAsia="Times New Roman" w:hAnsi="Times New Roman"/>
          <w:sz w:val="28"/>
          <w:szCs w:val="24"/>
          <w:lang w:eastAsia="ru-RU"/>
        </w:rPr>
        <w:t xml:space="preserve">. по беременности и родам, по уходу за ребенком до 1,5 лет, о предоставлении дней отдыха за работу в выходные дни) и об отзывах из отпусков. </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 xml:space="preserve">Подготовлены и сданы статистические отчеты по кадрам в Управление Росстата по Карачаево-Черкесской Республике и в Управление Пенсионного фонда Российской Федерации по КЧР (23 отчета по форме СЗВ-ТД, 12 отчетов по форме СЗВ-М).  </w:t>
      </w:r>
    </w:p>
    <w:p w:rsidR="009B09CF" w:rsidRP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Ежеквартально отправлялось в Управление Главы КЧР по внутренней политике отчеты Форма «ЗС» по текущей деятельности законодательного органа субъекта Российской Федерации.</w:t>
      </w:r>
    </w:p>
    <w:p w:rsidR="009B09CF" w:rsidRP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Велась работа по выдаче справок депутатам и работникам Народного Собрания (Парламента) КЧР для предъявления по месту требования.</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Составлен Реестр государственных гражданских служащих Народного Собрания республики на 01.01.2022 года. Велась работа с кадровым резервом Народного Собрания. Направлялись отчеты по мониторингу численности работников, замещающих должности государственной гражданской службы и государственные должности в Народном Собрании (Парламенте) КЧР в Управление Главы и Правительства КЧР по кадровой политике и вопросам государственной службы.</w:t>
      </w:r>
    </w:p>
    <w:p w:rsidR="009B09CF" w:rsidRPr="009B09CF" w:rsidRDefault="009B09CF" w:rsidP="009B09CF">
      <w:pPr>
        <w:spacing w:after="0" w:line="360" w:lineRule="auto"/>
        <w:ind w:firstLine="708"/>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Осуществлялось методическое сопровождение разработки должностных регламентов гражданских служащих.</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Была организована работа по пред</w:t>
      </w:r>
      <w:r w:rsidR="002324BA">
        <w:rPr>
          <w:rFonts w:ascii="Times New Roman" w:eastAsia="Times New Roman" w:hAnsi="Times New Roman"/>
          <w:sz w:val="28"/>
          <w:szCs w:val="24"/>
          <w:lang w:eastAsia="ru-RU"/>
        </w:rPr>
        <w:t>о</w:t>
      </w:r>
      <w:r w:rsidRPr="009B09CF">
        <w:rPr>
          <w:rFonts w:ascii="Times New Roman" w:eastAsia="Times New Roman" w:hAnsi="Times New Roman"/>
          <w:sz w:val="28"/>
          <w:szCs w:val="24"/>
          <w:lang w:eastAsia="ru-RU"/>
        </w:rPr>
        <w:t>ставлению лицами, замещающими должности государственной гражданской службы в Народном Собрании (Парламенте) КЧР и депутатами Народного Собрания (Парламента) КЧР сведений о доходах, расходах, об имуществе и обязательствах имущественного характера за 2021 год и по размещению на официальном сайте Народного Собрания (Парламента) КЧР выше указанных сведений.</w:t>
      </w:r>
    </w:p>
    <w:p w:rsidR="009B09CF" w:rsidRPr="009B09CF" w:rsidRDefault="009B09CF" w:rsidP="009B09CF">
      <w:pPr>
        <w:spacing w:after="0" w:line="360" w:lineRule="auto"/>
        <w:ind w:firstLine="708"/>
        <w:jc w:val="both"/>
        <w:rPr>
          <w:rFonts w:ascii="Times New Roman" w:eastAsia="Times New Roman" w:hAnsi="Times New Roman"/>
          <w:bCs/>
          <w:sz w:val="28"/>
          <w:szCs w:val="24"/>
          <w:lang w:eastAsia="ru-RU"/>
        </w:rPr>
      </w:pPr>
      <w:r w:rsidRPr="009B09CF">
        <w:rPr>
          <w:rFonts w:ascii="Times New Roman" w:eastAsia="Times New Roman" w:hAnsi="Times New Roman"/>
          <w:sz w:val="28"/>
          <w:szCs w:val="24"/>
          <w:lang w:eastAsia="ru-RU"/>
        </w:rPr>
        <w:lastRenderedPageBreak/>
        <w:t>Обеспечивалась организация и оформление доку</w:t>
      </w:r>
      <w:r w:rsidR="002324BA">
        <w:rPr>
          <w:rFonts w:ascii="Times New Roman" w:eastAsia="Times New Roman" w:hAnsi="Times New Roman"/>
          <w:sz w:val="28"/>
          <w:szCs w:val="24"/>
          <w:lang w:eastAsia="ru-RU"/>
        </w:rPr>
        <w:t>ментов по проведению заседания К</w:t>
      </w:r>
      <w:r w:rsidRPr="009B09CF">
        <w:rPr>
          <w:rFonts w:ascii="Times New Roman" w:eastAsia="Times New Roman" w:hAnsi="Times New Roman"/>
          <w:sz w:val="28"/>
          <w:szCs w:val="24"/>
          <w:lang w:eastAsia="ru-RU"/>
        </w:rPr>
        <w:t xml:space="preserve">омиссии по </w:t>
      </w:r>
      <w:r w:rsidRPr="009B09CF">
        <w:rPr>
          <w:rFonts w:ascii="Times New Roman" w:eastAsia="Times New Roman" w:hAnsi="Times New Roman"/>
          <w:bCs/>
          <w:sz w:val="28"/>
          <w:szCs w:val="24"/>
          <w:lang w:eastAsia="ru-RU"/>
        </w:rPr>
        <w:t xml:space="preserve">контролю за достоверностью сведений о доходах, </w:t>
      </w:r>
      <w:r w:rsidRPr="009B09CF">
        <w:rPr>
          <w:rFonts w:ascii="Times New Roman" w:eastAsia="Times New Roman" w:hAnsi="Times New Roman"/>
          <w:sz w:val="28"/>
          <w:szCs w:val="24"/>
          <w:lang w:eastAsia="ru-RU"/>
        </w:rPr>
        <w:t xml:space="preserve">расходах, </w:t>
      </w:r>
      <w:r w:rsidRPr="009B09CF">
        <w:rPr>
          <w:rFonts w:ascii="Times New Roman" w:eastAsia="Times New Roman" w:hAnsi="Times New Roman"/>
          <w:bCs/>
          <w:sz w:val="28"/>
          <w:szCs w:val="24"/>
          <w:lang w:eastAsia="ru-RU"/>
        </w:rPr>
        <w:t>об имуществе и обязательствах имущественного характера, пред</w:t>
      </w:r>
      <w:r w:rsidR="002324BA">
        <w:rPr>
          <w:rFonts w:ascii="Times New Roman" w:eastAsia="Times New Roman" w:hAnsi="Times New Roman"/>
          <w:bCs/>
          <w:sz w:val="28"/>
          <w:szCs w:val="24"/>
          <w:lang w:eastAsia="ru-RU"/>
        </w:rPr>
        <w:t>о</w:t>
      </w:r>
      <w:r w:rsidRPr="009B09CF">
        <w:rPr>
          <w:rFonts w:ascii="Times New Roman" w:eastAsia="Times New Roman" w:hAnsi="Times New Roman"/>
          <w:bCs/>
          <w:sz w:val="28"/>
          <w:szCs w:val="24"/>
          <w:lang w:eastAsia="ru-RU"/>
        </w:rPr>
        <w:t>ставляемых депутатами Народного Собрания (</w:t>
      </w:r>
      <w:proofErr w:type="gramStart"/>
      <w:r w:rsidRPr="009B09CF">
        <w:rPr>
          <w:rFonts w:ascii="Times New Roman" w:eastAsia="Times New Roman" w:hAnsi="Times New Roman"/>
          <w:bCs/>
          <w:sz w:val="28"/>
          <w:szCs w:val="24"/>
          <w:lang w:eastAsia="ru-RU"/>
        </w:rPr>
        <w:t xml:space="preserve">Парламента)   </w:t>
      </w:r>
      <w:proofErr w:type="gramEnd"/>
      <w:r w:rsidRPr="009B09CF">
        <w:rPr>
          <w:rFonts w:ascii="Times New Roman" w:eastAsia="Times New Roman" w:hAnsi="Times New Roman"/>
          <w:bCs/>
          <w:sz w:val="28"/>
          <w:szCs w:val="24"/>
          <w:lang w:eastAsia="ru-RU"/>
        </w:rPr>
        <w:t xml:space="preserve">               Карачаево-Черкесской   Республики  шестого созыва.</w:t>
      </w:r>
    </w:p>
    <w:p w:rsidR="009B09CF" w:rsidRPr="009B09CF" w:rsidRDefault="009B09CF" w:rsidP="009B09CF">
      <w:pPr>
        <w:spacing w:after="0" w:line="360" w:lineRule="auto"/>
        <w:ind w:firstLine="708"/>
        <w:jc w:val="both"/>
        <w:rPr>
          <w:rFonts w:ascii="Times New Roman" w:eastAsia="Times New Roman" w:hAnsi="Times New Roman"/>
          <w:bCs/>
          <w:sz w:val="28"/>
          <w:szCs w:val="24"/>
          <w:lang w:eastAsia="ru-RU"/>
        </w:rPr>
      </w:pPr>
      <w:r w:rsidRPr="009B09CF">
        <w:rPr>
          <w:rFonts w:ascii="Times New Roman" w:eastAsia="Times New Roman" w:hAnsi="Times New Roman"/>
          <w:bCs/>
          <w:sz w:val="28"/>
          <w:szCs w:val="24"/>
          <w:lang w:eastAsia="ru-RU"/>
        </w:rPr>
        <w:t>Велась работа по воинскому учету сотрудников, в том числе бронированию граждан, пребывающих в запасе. Подготовлен План по ведению воинско</w:t>
      </w:r>
      <w:r w:rsidR="002324BA">
        <w:rPr>
          <w:rFonts w:ascii="Times New Roman" w:eastAsia="Times New Roman" w:hAnsi="Times New Roman"/>
          <w:bCs/>
          <w:sz w:val="28"/>
          <w:szCs w:val="24"/>
          <w:lang w:eastAsia="ru-RU"/>
        </w:rPr>
        <w:t xml:space="preserve">го учета и бронированию </w:t>
      </w:r>
      <w:proofErr w:type="gramStart"/>
      <w:r w:rsidR="002324BA">
        <w:rPr>
          <w:rFonts w:ascii="Times New Roman" w:eastAsia="Times New Roman" w:hAnsi="Times New Roman"/>
          <w:bCs/>
          <w:sz w:val="28"/>
          <w:szCs w:val="24"/>
          <w:lang w:eastAsia="ru-RU"/>
        </w:rPr>
        <w:t>граждан</w:t>
      </w:r>
      <w:proofErr w:type="gramEnd"/>
      <w:r w:rsidRPr="009B09CF">
        <w:rPr>
          <w:rFonts w:ascii="Times New Roman" w:eastAsia="Times New Roman" w:hAnsi="Times New Roman"/>
          <w:bCs/>
          <w:sz w:val="28"/>
          <w:szCs w:val="24"/>
          <w:lang w:eastAsia="ru-RU"/>
        </w:rPr>
        <w:t xml:space="preserve"> пребыв</w:t>
      </w:r>
      <w:r w:rsidR="002324BA">
        <w:rPr>
          <w:rFonts w:ascii="Times New Roman" w:eastAsia="Times New Roman" w:hAnsi="Times New Roman"/>
          <w:bCs/>
          <w:sz w:val="28"/>
          <w:szCs w:val="24"/>
          <w:lang w:eastAsia="ru-RU"/>
        </w:rPr>
        <w:t>ающих в запасе на 2023 г</w:t>
      </w:r>
      <w:bookmarkStart w:id="2" w:name="_GoBack"/>
      <w:bookmarkEnd w:id="2"/>
      <w:r w:rsidRPr="009B09CF">
        <w:rPr>
          <w:rFonts w:ascii="Times New Roman" w:eastAsia="Times New Roman" w:hAnsi="Times New Roman"/>
          <w:bCs/>
          <w:sz w:val="28"/>
          <w:szCs w:val="24"/>
          <w:lang w:eastAsia="ru-RU"/>
        </w:rPr>
        <w:t>.</w:t>
      </w:r>
    </w:p>
    <w:p w:rsidR="009B09CF" w:rsidRPr="009B09CF" w:rsidRDefault="009B09CF" w:rsidP="009B09CF">
      <w:pPr>
        <w:spacing w:after="0" w:line="360" w:lineRule="auto"/>
        <w:jc w:val="both"/>
        <w:rPr>
          <w:rFonts w:ascii="Times New Roman" w:eastAsia="Times New Roman" w:hAnsi="Times New Roman"/>
          <w:sz w:val="28"/>
          <w:szCs w:val="24"/>
          <w:lang w:eastAsia="ru-RU"/>
        </w:rPr>
      </w:pPr>
    </w:p>
    <w:p w:rsidR="009B09CF" w:rsidRPr="009B09CF" w:rsidRDefault="009B09CF" w:rsidP="009B09CF">
      <w:pPr>
        <w:spacing w:after="0" w:line="360" w:lineRule="auto"/>
        <w:jc w:val="center"/>
        <w:rPr>
          <w:rFonts w:ascii="Times New Roman" w:eastAsia="Times New Roman" w:hAnsi="Times New Roman"/>
          <w:sz w:val="28"/>
          <w:szCs w:val="24"/>
          <w:lang w:eastAsia="ru-RU"/>
        </w:rPr>
      </w:pPr>
      <w:r w:rsidRPr="009B09CF">
        <w:rPr>
          <w:rFonts w:ascii="Times New Roman" w:eastAsia="Times New Roman" w:hAnsi="Times New Roman"/>
          <w:b/>
          <w:sz w:val="28"/>
          <w:szCs w:val="24"/>
          <w:lang w:eastAsia="ru-RU"/>
        </w:rPr>
        <w:t>3. Работа по награждению государственными и ведомственными наградами</w:t>
      </w:r>
      <w:r w:rsidRPr="009B09CF">
        <w:rPr>
          <w:rFonts w:ascii="Times New Roman" w:eastAsia="Times New Roman" w:hAnsi="Times New Roman"/>
          <w:sz w:val="28"/>
          <w:szCs w:val="24"/>
          <w:lang w:eastAsia="ru-RU"/>
        </w:rPr>
        <w:t>.</w:t>
      </w:r>
    </w:p>
    <w:p w:rsidR="009B09CF" w:rsidRPr="009B09CF" w:rsidRDefault="009B09CF" w:rsidP="009B09CF">
      <w:pPr>
        <w:spacing w:after="0" w:line="360" w:lineRule="auto"/>
        <w:jc w:val="both"/>
        <w:rPr>
          <w:rFonts w:ascii="Times New Roman" w:eastAsia="Times New Roman" w:hAnsi="Times New Roman"/>
          <w:sz w:val="28"/>
          <w:szCs w:val="24"/>
          <w:lang w:eastAsia="ru-RU"/>
        </w:rPr>
      </w:pP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 xml:space="preserve">Подготовлено 150 постановлений Президиума Народного Собрания (Парламента) КЧР о награждении Почетной грамотой Президиума Народного Собрания (Парламента) КЧР, оформлено 747 Почетных грамот Президиума Народного Собрания (Парламента) КЧР, оформлено 100 Почетных грамот Народного Собрания (Парламента) КЧР. Подготовлено 56 Благодарности Председателя Народного Собрания (Парламента) КЧР. </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Подготовлено два ходатайства Главе Карачаево-Черкесской Республики о присвоении почетного звания, одно ходатайство о награждении Почетной грамотой Главы Карачаево-Черкесской Республики и семь наградных листов о поощрении Благодарностью Главы Карачаево-Черкесской Республики. Подготовлено одно ходатайство сенатору Российской Федерации о награждении Почетной грамотой Совета Федерации Федерального Собрания Российской Федерации.</w:t>
      </w:r>
    </w:p>
    <w:p w:rsidR="009B09CF" w:rsidRPr="009B09CF" w:rsidRDefault="009B09CF" w:rsidP="009B09CF">
      <w:pPr>
        <w:spacing w:after="0" w:line="360" w:lineRule="auto"/>
        <w:jc w:val="both"/>
        <w:rPr>
          <w:rFonts w:ascii="Times New Roman" w:eastAsia="Times New Roman" w:hAnsi="Times New Roman"/>
          <w:sz w:val="28"/>
          <w:szCs w:val="24"/>
          <w:lang w:eastAsia="ru-RU"/>
        </w:rPr>
      </w:pPr>
      <w:r w:rsidRPr="009B09CF">
        <w:rPr>
          <w:rFonts w:ascii="Times New Roman" w:eastAsia="Times New Roman" w:hAnsi="Times New Roman"/>
          <w:sz w:val="28"/>
          <w:szCs w:val="24"/>
          <w:lang w:eastAsia="ru-RU"/>
        </w:rPr>
        <w:tab/>
        <w:t>Организованы мероприятия по торжественному вручению Почетных грамот Народного Собрания (Парламента) Карачаево-Черкесской Республики.</w:t>
      </w:r>
    </w:p>
    <w:p w:rsidR="009B09CF" w:rsidRPr="00F01AA6" w:rsidRDefault="009B09CF" w:rsidP="002C79E1">
      <w:pPr>
        <w:rPr>
          <w:rFonts w:ascii="Times New Roman" w:hAnsi="Times New Roman"/>
          <w:b/>
          <w:sz w:val="28"/>
          <w:szCs w:val="28"/>
        </w:rPr>
      </w:pPr>
    </w:p>
    <w:sectPr w:rsidR="009B09CF" w:rsidRPr="00F01A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FA9"/>
    <w:rsid w:val="00010D8A"/>
    <w:rsid w:val="00083457"/>
    <w:rsid w:val="0022469F"/>
    <w:rsid w:val="002324BA"/>
    <w:rsid w:val="002C79E1"/>
    <w:rsid w:val="003C2A81"/>
    <w:rsid w:val="003D1555"/>
    <w:rsid w:val="0052686A"/>
    <w:rsid w:val="005F0C14"/>
    <w:rsid w:val="0061307E"/>
    <w:rsid w:val="00685B00"/>
    <w:rsid w:val="00710A3E"/>
    <w:rsid w:val="00752419"/>
    <w:rsid w:val="009721D8"/>
    <w:rsid w:val="00974C8B"/>
    <w:rsid w:val="009B09CF"/>
    <w:rsid w:val="00B04BA9"/>
    <w:rsid w:val="00B31FA9"/>
    <w:rsid w:val="00BD21C6"/>
    <w:rsid w:val="00D552A8"/>
    <w:rsid w:val="00DE629B"/>
    <w:rsid w:val="00E16C28"/>
    <w:rsid w:val="00F01AA6"/>
    <w:rsid w:val="00F542FE"/>
    <w:rsid w:val="00F85231"/>
    <w:rsid w:val="00F87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3DFD3"/>
  <w15:chartTrackingRefBased/>
  <w15:docId w15:val="{F301DBE9-1C4A-4E6E-9C47-4E9A59C9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69F"/>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1CharChar">
    <w:name w:val="Char Char Знак Знак1 Char Char1 Знак Знак Char Char Знак Знак Знак Знак"/>
    <w:basedOn w:val="a"/>
    <w:rsid w:val="0022469F"/>
    <w:pPr>
      <w:spacing w:before="100" w:beforeAutospacing="1" w:after="100" w:afterAutospacing="1" w:line="240" w:lineRule="auto"/>
    </w:pPr>
    <w:rPr>
      <w:rFonts w:ascii="Tahoma" w:eastAsia="Times New Roman" w:hAnsi="Tahoma" w:cs="Tahoma"/>
      <w:sz w:val="20"/>
      <w:szCs w:val="20"/>
      <w:lang w:val="en-US"/>
    </w:rPr>
  </w:style>
  <w:style w:type="table" w:styleId="a3">
    <w:name w:val="Table Grid"/>
    <w:basedOn w:val="a1"/>
    <w:rsid w:val="00974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2154F-48FB-4B48-9B0B-41EEB8DE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6</Pages>
  <Words>1030</Words>
  <Characters>8287</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НАРОДНОЕ СОБРАНИЕ (ПАРЛАМЕНТ)</vt:lpstr>
    </vt:vector>
  </TitlesOfParts>
  <Company>MoBIL GROUP</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НАРОДНОЕ СОБРАНИЕ (ПАРЛАМЕНТ)</dc:title>
  <dc:subject/>
  <dc:creator>Adm</dc:creator>
  <cp:keywords/>
  <cp:lastModifiedBy>Соколенко Наталья Викторовна</cp:lastModifiedBy>
  <cp:revision>3</cp:revision>
  <cp:lastPrinted>2013-07-15T07:41:00Z</cp:lastPrinted>
  <dcterms:created xsi:type="dcterms:W3CDTF">2023-02-07T08:38:00Z</dcterms:created>
  <dcterms:modified xsi:type="dcterms:W3CDTF">2023-02-08T12:53:00Z</dcterms:modified>
</cp:coreProperties>
</file>